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12"/>
        <w:tblpPr w:leftFromText="180" w:rightFromText="180" w:vertAnchor="page" w:horzAnchor="page" w:tblpX="2192" w:tblpY="2022"/>
        <w:tblOverlap w:val="never"/>
        <w:tblW w:w="7560" w:type="dxa"/>
        <w:tblInd w:w="0" w:type="dxa"/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80"/>
        <w:gridCol w:w="1040"/>
        <w:gridCol w:w="1040"/>
        <w:gridCol w:w="1040"/>
        <w:gridCol w:w="1040"/>
        <w:gridCol w:w="1040"/>
        <w:gridCol w:w="1280"/>
      </w:tblGrid>
      <w:tr>
        <w:tblPrEx>
          <w:shd w:val="clear" w:color="auto" w:fill="auto"/>
        </w:tblPrEx>
        <w:trPr>
          <w:trHeight w:val="300" w:hRule="atLeast"/>
        </w:trPr>
        <w:tc>
          <w:tcPr>
            <w:tcW w:w="108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04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Total</w:t>
            </w:r>
          </w:p>
        </w:tc>
        <w:tc>
          <w:tcPr>
            <w:tcW w:w="104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Prot</w:t>
            </w:r>
          </w:p>
        </w:tc>
        <w:tc>
          <w:tcPr>
            <w:tcW w:w="104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GO</w:t>
            </w:r>
          </w:p>
        </w:tc>
        <w:tc>
          <w:tcPr>
            <w:tcW w:w="104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NR</w:t>
            </w:r>
          </w:p>
        </w:tc>
        <w:tc>
          <w:tcPr>
            <w:tcW w:w="104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NT</w:t>
            </w:r>
          </w:p>
        </w:tc>
        <w:tc>
          <w:tcPr>
            <w:tcW w:w="128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eggNOG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ascii="Palatino Linotype" w:hAnsi="Palatino Linotype" w:eastAsia="Palatino Linotype" w:cs="Palatino Linotype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Palatino Linotype" w:hAnsi="Palatino Linotype" w:eastAsia="Palatino Linotype" w:cs="Palatino Linotype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Number of Unigenes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378774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116187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137542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175517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68120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85285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5" w:hRule="atLeast"/>
        </w:trPr>
        <w:tc>
          <w:tcPr>
            <w:tcW w:w="108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Palatino Linotype" w:hAnsi="Palatino Linotype" w:eastAsia="Palatino Linotype" w:cs="Palatino Linotype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Palatino Linotype" w:hAnsi="Palatino Linotype" w:eastAsia="Palatino Linotype" w:cs="Palatino Linotype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Percentage (%)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100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30.674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36.312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46.338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17.984</w:t>
            </w:r>
          </w:p>
        </w:tc>
        <w:tc>
          <w:tcPr>
            <w:tcW w:w="128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22.516</w:t>
            </w:r>
          </w:p>
        </w:tc>
      </w:tr>
    </w:tbl>
    <w:p>
      <w:pPr>
        <w:pStyle w:val="16"/>
        <w:ind w:left="0" w:leftChars="0" w:firstLine="0" w:firstLineChars="0"/>
        <w:jc w:val="center"/>
      </w:pPr>
      <w:r>
        <w:rPr>
          <w:b/>
        </w:rPr>
        <w:t>Table S</w:t>
      </w:r>
      <w:r>
        <w:rPr>
          <w:rFonts w:hint="eastAsia"/>
          <w:b/>
          <w:lang w:val="en-US" w:eastAsia="zh-CN"/>
        </w:rPr>
        <w:t>1</w:t>
      </w:r>
      <w:r>
        <w:rPr>
          <w:b/>
        </w:rPr>
        <w:t>.</w:t>
      </w:r>
      <w:r>
        <w:t xml:space="preserve"> Summary of annotations of the Iris</w:t>
      </w:r>
      <w:r>
        <w:rPr>
          <w:rFonts w:hint="default" w:ascii="Times New Roman" w:hAnsi="Times New Roman" w:eastAsia="Times New Roman" w:cs="Times New Roman"/>
          <w:snapToGrid w:val="0"/>
          <w:color w:val="000000"/>
          <w:kern w:val="0"/>
          <w:sz w:val="20"/>
          <w:szCs w:val="20"/>
          <w:lang w:val="en-US" w:eastAsia="zh-CN" w:bidi="en-US"/>
        </w:rPr>
        <w:t xml:space="preserve"> pseudacorus</w:t>
      </w:r>
      <w:r>
        <w:t xml:space="preserve"> variegate transcriptome.</w:t>
      </w:r>
    </w:p>
    <w:p>
      <w:pPr>
        <w:bidi w:val="0"/>
      </w:pPr>
    </w:p>
    <w:p>
      <w:pPr>
        <w:spacing w:line="360" w:lineRule="auto"/>
        <w:ind w:firstLine="2168" w:firstLineChars="1200"/>
        <w:jc w:val="both"/>
        <w:rPr>
          <w:rFonts w:hint="default" w:eastAsia="黑体" w:cs="Times New Roman"/>
          <w:color w:val="000000"/>
          <w:szCs w:val="21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S1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 xml:space="preserve">. </w:t>
      </w:r>
      <w:r>
        <w:rPr>
          <w:rFonts w:eastAsia="黑体" w:cs="Times New Roman"/>
          <w:color w:val="000000"/>
          <w:szCs w:val="21"/>
        </w:rPr>
        <w:t xml:space="preserve">Length distribution of </w:t>
      </w:r>
      <w:r>
        <w:rPr>
          <w:rFonts w:hint="eastAsia" w:eastAsia="黑体" w:cs="Times New Roman"/>
          <w:color w:val="000000"/>
          <w:szCs w:val="21"/>
          <w:lang w:val="en-US" w:eastAsia="zh-CN"/>
        </w:rPr>
        <w:t>unigene</w:t>
      </w: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-111760</wp:posOffset>
            </wp:positionH>
            <wp:positionV relativeFrom="paragraph">
              <wp:posOffset>48895</wp:posOffset>
            </wp:positionV>
            <wp:extent cx="5272405" cy="3503930"/>
            <wp:effectExtent l="0" t="0" r="4445" b="1270"/>
            <wp:wrapTopAndBottom/>
            <wp:docPr id="2" name="图片 2" descr="Unigene_fasta_leng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Unigene_fasta_length"/>
                    <pic:cNvPicPr>
                      <a:picLocks noChangeAspect="1"/>
                    </pic:cNvPicPr>
                  </pic:nvPicPr>
                  <pic:blipFill>
                    <a:blip r:embed="rId4"/>
                    <a:srcRect t="1138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jc w:val="center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 xml:space="preserve">2. </w:t>
      </w:r>
      <w:r>
        <w:rPr>
          <w:rFonts w:hint="eastAsia" w:ascii="Times New Roman" w:hAnsi="Times New Roman" w:eastAsia="Times New Roman" w:cs="Times New Roman"/>
          <w:snapToGrid w:val="0"/>
          <w:color w:val="000000"/>
          <w:kern w:val="0"/>
          <w:sz w:val="20"/>
          <w:szCs w:val="20"/>
          <w:lang w:val="en-US" w:eastAsia="zh-CN" w:bidi="en-US"/>
        </w:rPr>
        <w:t>Gene ontology classifications of 137,542 orthologous unigenes</w:t>
      </w: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  <w:r>
        <w:rPr>
          <w:rFonts w:hint="eastAsia" w:ascii="Times New Roman" w:hAnsi="Times New Roman" w:eastAsia="Times New Roman" w:cs="Times New Roman"/>
          <w:snapToGrid w:val="0"/>
          <w:color w:val="000000"/>
          <w:kern w:val="0"/>
          <w:sz w:val="20"/>
          <w:szCs w:val="20"/>
          <w:lang w:val="en-US" w:eastAsia="zh-CN" w:bidi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-11430</wp:posOffset>
            </wp:positionH>
            <wp:positionV relativeFrom="paragraph">
              <wp:posOffset>57150</wp:posOffset>
            </wp:positionV>
            <wp:extent cx="5266690" cy="3160395"/>
            <wp:effectExtent l="0" t="0" r="10160" b="1905"/>
            <wp:wrapTopAndBottom/>
            <wp:docPr id="3" name="图片 3" descr="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go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60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jc w:val="center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 xml:space="preserve">3. </w:t>
      </w:r>
      <w:r>
        <w:rPr>
          <w:rFonts w:hint="eastAsia" w:ascii="Times New Roman" w:hAnsi="Times New Roman" w:eastAsia="Times New Roman" w:cs="Times New Roman"/>
          <w:snapToGrid w:val="0"/>
          <w:color w:val="000000"/>
          <w:kern w:val="0"/>
          <w:sz w:val="20"/>
          <w:szCs w:val="20"/>
          <w:lang w:val="en-US" w:eastAsia="zh-CN" w:bidi="en-US"/>
        </w:rPr>
        <w:t>KOG function classification of the unigenes.</w:t>
      </w:r>
      <w:r>
        <w:rPr>
          <w:rFonts w:hint="eastAsia" w:ascii="Times New Roman" w:hAnsi="Times New Roman" w:eastAsiaTheme="minorEastAsia" w:cstheme="minorBidi"/>
          <w:b/>
          <w:snapToGrid/>
          <w:kern w:val="2"/>
          <w:sz w:val="20"/>
          <w:szCs w:val="20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-45085</wp:posOffset>
            </wp:positionH>
            <wp:positionV relativeFrom="paragraph">
              <wp:posOffset>358775</wp:posOffset>
            </wp:positionV>
            <wp:extent cx="5274310" cy="3691890"/>
            <wp:effectExtent l="0" t="0" r="2540" b="3810"/>
            <wp:wrapTopAndBottom/>
            <wp:docPr id="5" name="图片 5" descr="blast_list.cla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last_list.class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bidi w:val="0"/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</w:pPr>
    </w:p>
    <w:p>
      <w:pPr>
        <w:spacing w:line="360" w:lineRule="auto"/>
        <w:jc w:val="center"/>
        <w:rPr>
          <w:rFonts w:hint="default" w:ascii="Times New Roman" w:hAnsi="Times New Roman"/>
          <w:i w:val="0"/>
          <w:sz w:val="20"/>
          <w:szCs w:val="20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 xml:space="preserve">4. </w:t>
      </w:r>
      <w:r>
        <w:rPr>
          <w:rFonts w:ascii="Times New Roman" w:hAnsi="Times New Roman"/>
          <w:i w:val="0"/>
          <w:sz w:val="20"/>
          <w:szCs w:val="20"/>
        </w:rPr>
        <w:t xml:space="preserve">GO classifications of the genes differentially expressed in </w:t>
      </w:r>
      <w:r>
        <w:rPr>
          <w:rFonts w:hint="eastAsia" w:ascii="Times New Roman" w:hAnsi="Times New Roman"/>
          <w:i w:val="0"/>
          <w:sz w:val="20"/>
          <w:szCs w:val="20"/>
          <w:lang w:val="en-US" w:eastAsia="zh-CN"/>
        </w:rPr>
        <w:t>different comparison groups</w:t>
      </w:r>
      <w:r>
        <w:rPr>
          <w:rFonts w:hint="eastAsia"/>
          <w:i w:val="0"/>
          <w:sz w:val="20"/>
          <w:szCs w:val="20"/>
          <w:lang w:val="en-US" w:eastAsia="zh-CN"/>
        </w:rPr>
        <w:t>(0h-2h)</w:t>
      </w:r>
    </w:p>
    <w:p>
      <w:pPr>
        <w:spacing w:line="360" w:lineRule="auto"/>
        <w:jc w:val="center"/>
        <w:rPr>
          <w:rFonts w:hint="default" w:ascii="Times New Roman" w:hAnsi="Times New Roman"/>
          <w:i w:val="0"/>
          <w:sz w:val="20"/>
          <w:szCs w:val="20"/>
          <w:lang w:val="en-US" w:eastAsia="zh-CN"/>
        </w:rPr>
      </w:pPr>
      <w:r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5</w:t>
      </w:r>
      <w:r>
        <w:rPr>
          <w:rFonts w:hint="default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 xml:space="preserve">. </w:t>
      </w:r>
      <w:r>
        <w:rPr>
          <w:rFonts w:hint="default" w:ascii="Times New Roman" w:hAnsi="Times New Roman"/>
          <w:i w:val="0"/>
          <w:sz w:val="20"/>
          <w:szCs w:val="20"/>
          <w:lang w:val="en-US" w:eastAsia="zh-CN"/>
        </w:rPr>
        <w:t>GO classifications of the genes differentially expressed in different comparison groups(0h-</w:t>
      </w:r>
      <w:r>
        <w:rPr>
          <w:rFonts w:hint="eastAsia"/>
          <w:i w:val="0"/>
          <w:sz w:val="20"/>
          <w:szCs w:val="20"/>
          <w:lang w:val="en-US" w:eastAsia="zh-CN"/>
        </w:rPr>
        <w:t>4</w:t>
      </w:r>
      <w:r>
        <w:rPr>
          <w:rFonts w:hint="default" w:ascii="Times New Roman" w:hAnsi="Times New Roman"/>
          <w:i w:val="0"/>
          <w:sz w:val="20"/>
          <w:szCs w:val="20"/>
          <w:lang w:val="en-US" w:eastAsia="zh-CN"/>
        </w:rPr>
        <w:t>h)</w:t>
      </w:r>
      <w:r>
        <w:rPr>
          <w:rFonts w:hint="default" w:ascii="Times New Roman" w:hAnsi="Times New Roman"/>
          <w:i w:val="0"/>
          <w:sz w:val="20"/>
          <w:szCs w:val="20"/>
          <w:lang w:val="en-US" w:eastAsia="zh-CN"/>
        </w:rPr>
        <w:drawing>
          <wp:inline distT="0" distB="0" distL="114300" distR="114300">
            <wp:extent cx="5266690" cy="3869055"/>
            <wp:effectExtent l="0" t="0" r="10160" b="17145"/>
            <wp:docPr id="8" name="图片 8" descr="CK0_Y4_Up_Dow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K0_Y4_Up_Dow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6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/>
          <w:i w:val="0"/>
          <w:sz w:val="20"/>
          <w:szCs w:val="20"/>
          <w:lang w:val="en-US"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36195</wp:posOffset>
            </wp:positionV>
            <wp:extent cx="5273040" cy="3267710"/>
            <wp:effectExtent l="0" t="0" r="3810" b="8890"/>
            <wp:wrapTopAndBottom/>
            <wp:docPr id="7" name="图片 7" descr="CK0_Y2_Up_Dow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K0_Y2_Up_Dow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6"/>
        <w:ind w:left="0" w:leftChars="0" w:firstLine="0" w:firstLineChars="0"/>
        <w:jc w:val="both"/>
      </w:pPr>
    </w:p>
    <w:p>
      <w:pPr>
        <w:bidi w:val="0"/>
        <w:jc w:val="center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6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GO classifications of the genes differentially expressed in different comparison groups(0h-12h)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0500" cy="3881120"/>
            <wp:effectExtent l="0" t="0" r="6350" b="5080"/>
            <wp:docPr id="16" name="图片 16" descr="CK0_Y12_Up_Dow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K0_Y12_Up_Down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88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7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GO classifications of the genes differentially expressed in different comparison groups(0h-24h)</w:t>
      </w:r>
      <w:r>
        <w:rPr>
          <w:rFonts w:hint="eastAsia"/>
          <w:sz w:val="20"/>
          <w:szCs w:val="22"/>
          <w:lang w:val="en-US" w:eastAsia="zh-CN"/>
        </w:rPr>
        <w:drawing>
          <wp:inline distT="0" distB="0" distL="114300" distR="114300">
            <wp:extent cx="5267960" cy="3282950"/>
            <wp:effectExtent l="0" t="0" r="8890" b="12700"/>
            <wp:docPr id="17" name="图片 17" descr="CK0_Y24_Up_Dow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K0_Y24_Up_Dow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28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12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281"/>
        </w:tabs>
        <w:bidi w:val="0"/>
        <w:jc w:val="left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8.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biological process (BP) of DEGs enriched in roots waterlogged for 4 hours</w:t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78105</wp:posOffset>
            </wp:positionV>
            <wp:extent cx="5379085" cy="5284470"/>
            <wp:effectExtent l="0" t="0" r="12065" b="11430"/>
            <wp:wrapTopAndBottom/>
            <wp:docPr id="1" name="图片 1" descr="CK0_Y4_BP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K0_Y4_BP.enrichment_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9085" cy="5284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281"/>
        </w:tabs>
        <w:bidi w:val="0"/>
        <w:jc w:val="left"/>
        <w:rPr>
          <w:rFonts w:hint="eastAsia"/>
          <w:sz w:val="20"/>
          <w:szCs w:val="22"/>
          <w:lang w:val="en-US" w:eastAsia="zh-CN"/>
        </w:rPr>
      </w:pPr>
      <w:bookmarkStart w:id="0" w:name="OLE_LINK1"/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9.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cellular component (CC) of DEGs enriched in roots waterlogged for 4 hours</w:t>
      </w:r>
    </w:p>
    <w:bookmarkEnd w:id="0"/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11430</wp:posOffset>
            </wp:positionV>
            <wp:extent cx="5270500" cy="6637655"/>
            <wp:effectExtent l="0" t="0" r="6350" b="10795"/>
            <wp:wrapTopAndBottom/>
            <wp:docPr id="6" name="图片 6" descr="CK0_Y4_CC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K0_Y4_CC.enrichment_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637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06"/>
        </w:tabs>
        <w:bidi w:val="0"/>
        <w:jc w:val="left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10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molecular function (MF) of DEGs enriched in roots waterlogged for 4 hours</w:t>
      </w:r>
      <w:r>
        <w:rPr>
          <w:rFonts w:hint="eastAsia"/>
          <w:sz w:val="20"/>
          <w:szCs w:val="22"/>
          <w:lang w:val="en-US" w:eastAsia="zh-CN"/>
        </w:rPr>
        <w:drawing>
          <wp:inline distT="0" distB="0" distL="114300" distR="114300">
            <wp:extent cx="5273675" cy="4476750"/>
            <wp:effectExtent l="0" t="0" r="3175" b="0"/>
            <wp:docPr id="18" name="图片 18" descr="CK0_Y4_MF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K0_Y4_MF.enrichment_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32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560070</wp:posOffset>
            </wp:positionV>
            <wp:extent cx="5273675" cy="5178425"/>
            <wp:effectExtent l="0" t="0" r="3175" b="3175"/>
            <wp:wrapTopAndBottom/>
            <wp:docPr id="10" name="图片 10" descr="CK0_Y12_BP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K0_Y12_BP.enrichment_0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178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11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biological process (BP) of DEGs enriched in roots waterlogged for 12 hours</w:t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1221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122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22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1221"/>
        </w:tabs>
        <w:bidi w:val="0"/>
        <w:jc w:val="left"/>
        <w:rPr>
          <w:rFonts w:hint="eastAsia"/>
          <w:lang w:val="en-US" w:eastAsia="zh-CN"/>
        </w:rPr>
      </w:pPr>
      <w:bookmarkStart w:id="1" w:name="OLE_LINK2"/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12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 xml:space="preserve">.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cellular component (CC) of DEGs enriched in roots waterlogged for 12 hours</w:t>
      </w:r>
      <w:bookmarkEnd w:id="1"/>
      <w:r>
        <w:rPr>
          <w:rFonts w:hint="eastAsia"/>
          <w:lang w:val="en-US"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544830</wp:posOffset>
            </wp:positionV>
            <wp:extent cx="5272405" cy="6434455"/>
            <wp:effectExtent l="0" t="0" r="4445" b="4445"/>
            <wp:wrapTopAndBottom/>
            <wp:docPr id="11" name="图片 11" descr="CK0_Y12_CC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K0_Y12_CC.enrichment_0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34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ind w:firstLine="576" w:firstLineChars="0"/>
        <w:jc w:val="left"/>
        <w:rPr>
          <w:rFonts w:hint="eastAsia"/>
          <w:lang w:val="en-US" w:eastAsia="zh-CN"/>
        </w:rPr>
      </w:pPr>
    </w:p>
    <w:p>
      <w:pPr>
        <w:bidi w:val="0"/>
        <w:ind w:firstLine="576" w:firstLineChars="0"/>
        <w:jc w:val="left"/>
        <w:rPr>
          <w:rFonts w:hint="eastAsia"/>
          <w:lang w:val="en-US" w:eastAsia="zh-CN"/>
        </w:rPr>
      </w:pPr>
    </w:p>
    <w:p>
      <w:pPr>
        <w:bidi w:val="0"/>
        <w:ind w:firstLine="576" w:firstLineChars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687705</wp:posOffset>
            </wp:positionV>
            <wp:extent cx="5273675" cy="4476750"/>
            <wp:effectExtent l="0" t="0" r="3175" b="0"/>
            <wp:wrapTopAndBottom/>
            <wp:docPr id="12" name="图片 12" descr="CK0_Y12_MF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K0_Y12_MF.enrichment_0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13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 xml:space="preserve">. </w:t>
      </w:r>
      <w:r>
        <w:rPr>
          <w:rFonts w:hint="eastAsia"/>
          <w:sz w:val="20"/>
          <w:szCs w:val="22"/>
          <w:lang w:val="en-US" w:eastAsia="zh-CN"/>
        </w:rPr>
        <w:t xml:space="preserve">The ten GO entries with the highest enrichment significance for different genes in each comparison group, </w:t>
      </w:r>
      <w:bookmarkStart w:id="2" w:name="OLE_LINK3"/>
      <w:r>
        <w:rPr>
          <w:rFonts w:hint="eastAsia"/>
          <w:sz w:val="20"/>
          <w:szCs w:val="22"/>
          <w:lang w:val="en-US" w:eastAsia="zh-CN"/>
        </w:rPr>
        <w:t>molecular function (MF)</w:t>
      </w:r>
      <w:bookmarkEnd w:id="2"/>
      <w:r>
        <w:rPr>
          <w:rFonts w:hint="eastAsia"/>
          <w:sz w:val="20"/>
          <w:szCs w:val="22"/>
          <w:lang w:val="en-US" w:eastAsia="zh-CN"/>
        </w:rPr>
        <w:t xml:space="preserve"> of DEGs enriched in roots waterlogged for 12 hours</w:t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14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 xml:space="preserve">.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biological process (BP) of DEGs enriched in roots waterlogged for 24 hours</w:t>
      </w:r>
    </w:p>
    <w:p>
      <w:pPr>
        <w:tabs>
          <w:tab w:val="left" w:pos="69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325" cy="4392295"/>
            <wp:effectExtent l="0" t="0" r="9525" b="8255"/>
            <wp:docPr id="19" name="图片 19" descr="CK0_Y24_BP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K0_Y24_BP.enrichment_0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9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081"/>
        </w:tabs>
        <w:bidi w:val="0"/>
        <w:jc w:val="left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546735</wp:posOffset>
            </wp:positionV>
            <wp:extent cx="5248910" cy="7016750"/>
            <wp:effectExtent l="0" t="0" r="8890" b="12700"/>
            <wp:wrapTopAndBottom/>
            <wp:docPr id="14" name="图片 14" descr="CK0_Y24_CC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K0_Y24_CC.enrichment_0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8910" cy="701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S1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5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>The ten GO entries with the highest enrichment significance for different genes in each comparison group, cellular component (CC) of DEGs enriched in roots waterlogged for 24 hours</w:t>
      </w:r>
    </w:p>
    <w:p>
      <w:pPr>
        <w:bidi w:val="0"/>
        <w:rPr>
          <w:rFonts w:hint="eastAsia" w:ascii="Times New Roman" w:hAnsi="Times New Roman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ind w:firstLine="441" w:firstLineChars="0"/>
        <w:jc w:val="left"/>
        <w:rPr>
          <w:rFonts w:hint="eastAsia"/>
          <w:lang w:val="en-US" w:eastAsia="zh-CN"/>
        </w:rPr>
      </w:pPr>
    </w:p>
    <w:p>
      <w:pPr>
        <w:bidi w:val="0"/>
        <w:ind w:firstLine="441" w:firstLineChars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Figure S1</w:t>
      </w:r>
      <w:r>
        <w:rPr>
          <w:rFonts w:hint="eastAsia" w:ascii="Palatino Linotype" w:hAnsi="Palatino Linotype" w:cstheme="minorBidi"/>
          <w:b/>
          <w:kern w:val="2"/>
          <w:sz w:val="18"/>
          <w:szCs w:val="22"/>
          <w:lang w:val="en-US" w:eastAsia="zh-CN" w:bidi="en-US"/>
        </w:rPr>
        <w:t>6</w:t>
      </w:r>
      <w:r>
        <w:rPr>
          <w:rFonts w:hint="eastAsia" w:ascii="Palatino Linotype" w:hAnsi="Palatino Linotype" w:eastAsiaTheme="minorEastAsia" w:cstheme="minorBidi"/>
          <w:b/>
          <w:kern w:val="2"/>
          <w:sz w:val="18"/>
          <w:szCs w:val="22"/>
          <w:lang w:val="en-US" w:eastAsia="zh-CN" w:bidi="en-US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sz w:val="20"/>
          <w:szCs w:val="22"/>
          <w:lang w:val="en-US" w:eastAsia="zh-CN"/>
        </w:rPr>
        <w:t xml:space="preserve">The ten GO entries with the highest enrichment significance for different genes in each comparison group, </w:t>
      </w:r>
      <w:r>
        <w:rPr>
          <w:rFonts w:hint="eastAsia"/>
          <w:lang w:val="en-US" w:eastAsia="zh-CN"/>
        </w:rPr>
        <w:t>molecular function (MF)</w:t>
      </w:r>
      <w:r>
        <w:rPr>
          <w:rFonts w:hint="eastAsia"/>
          <w:sz w:val="20"/>
          <w:szCs w:val="22"/>
          <w:lang w:val="en-US" w:eastAsia="zh-CN"/>
        </w:rPr>
        <w:t xml:space="preserve"> of DEGs enriched in roots waterlogged for 24 hours</w:t>
      </w:r>
      <w:r>
        <w:rPr>
          <w:rFonts w:hint="eastAsia"/>
          <w:sz w:val="20"/>
          <w:szCs w:val="22"/>
          <w:lang w:val="en-US" w:eastAsia="zh-CN"/>
        </w:rPr>
        <w:drawing>
          <wp:inline distT="0" distB="0" distL="114300" distR="114300">
            <wp:extent cx="5267325" cy="4869815"/>
            <wp:effectExtent l="0" t="0" r="9525" b="6985"/>
            <wp:docPr id="20" name="图片 20" descr="CK0_Y24_MF.enrichment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K0_Y24_MF.enrichment_0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6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p>
      <w:pPr>
        <w:bidi w:val="0"/>
        <w:jc w:val="left"/>
        <w:rPr>
          <w:rFonts w:hint="eastAsia"/>
          <w:sz w:val="20"/>
          <w:szCs w:val="22"/>
          <w:lang w:val="en-US" w:eastAsia="zh-CN"/>
        </w:rPr>
      </w:pPr>
    </w:p>
    <w:tbl>
      <w:tblPr>
        <w:tblStyle w:val="12"/>
        <w:tblpPr w:leftFromText="180" w:rightFromText="180" w:vertAnchor="text" w:horzAnchor="page" w:tblpX="219" w:tblpY="675"/>
        <w:tblOverlap w:val="never"/>
        <w:tblW w:w="11600" w:type="dxa"/>
        <w:jc w:val="center"/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556"/>
        <w:gridCol w:w="4272"/>
        <w:gridCol w:w="4259"/>
        <w:gridCol w:w="2513"/>
      </w:tblGrid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8" w:hRule="atLeast"/>
          <w:jc w:val="center"/>
        </w:trPr>
        <w:tc>
          <w:tcPr>
            <w:tcW w:w="556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Palatino Linotype" w:cs="Palatino Linotype"/>
                <w:b/>
                <w:i w:val="0"/>
                <w:color w:val="000000"/>
                <w:sz w:val="20"/>
                <w:szCs w:val="20"/>
                <w:u w:val="none"/>
                <w:lang w:val="en-US"/>
              </w:rPr>
            </w:pPr>
            <w:bookmarkStart w:id="3" w:name="OLE_LINK26"/>
            <w:r>
              <w:rPr>
                <w:rFonts w:hint="default" w:ascii="Palatino Linotype" w:hAnsi="Palatino Linotype" w:eastAsia="Palatino Linotype" w:cs="Palatino Linotype"/>
                <w:b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Gene </w:t>
            </w:r>
            <w:r>
              <w:rPr>
                <w:rFonts w:hint="eastAsia" w:ascii="Palatino Linotype" w:hAnsi="Palatino Linotype" w:eastAsia="Palatino Linotype" w:cs="Palatino Linotype"/>
                <w:b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name</w:t>
            </w:r>
          </w:p>
        </w:tc>
        <w:tc>
          <w:tcPr>
            <w:tcW w:w="4272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Palatino Linotype" w:cs="Palatino Linotype"/>
                <w:b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Palatino Linotype" w:hAnsi="Palatino Linotype" w:eastAsia="Palatino Linotype" w:cs="Palatino Linotype"/>
                <w:b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Forward primer 5'</w:t>
            </w:r>
            <w:r>
              <w:rPr>
                <w:rStyle w:val="17"/>
                <w:lang w:val="en-US" w:eastAsia="zh-CN" w:bidi="ar"/>
              </w:rPr>
              <w:t>→</w:t>
            </w:r>
            <w:r>
              <w:rPr>
                <w:rStyle w:val="18"/>
                <w:lang w:val="en-US" w:eastAsia="zh-CN" w:bidi="ar"/>
              </w:rPr>
              <w:t>3'</w:t>
            </w:r>
          </w:p>
        </w:tc>
        <w:tc>
          <w:tcPr>
            <w:tcW w:w="4259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Palatino Linotype" w:cs="Palatino Linotype"/>
                <w:b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Palatino Linotype" w:hAnsi="Palatino Linotype" w:eastAsia="Palatino Linotype" w:cs="Palatino Linotype"/>
                <w:b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Reverse primer 5'</w:t>
            </w:r>
            <w:r>
              <w:rPr>
                <w:rStyle w:val="17"/>
                <w:lang w:val="en-US" w:eastAsia="zh-CN" w:bidi="ar"/>
              </w:rPr>
              <w:t>→</w:t>
            </w:r>
            <w:r>
              <w:rPr>
                <w:rStyle w:val="18"/>
                <w:lang w:val="en-US" w:eastAsia="zh-CN" w:bidi="ar"/>
              </w:rPr>
              <w:t>3'</w:t>
            </w:r>
          </w:p>
        </w:tc>
        <w:tc>
          <w:tcPr>
            <w:tcW w:w="2513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Palatino Linotype" w:hAnsi="Palatino Linotype" w:eastAsia="Palatino Linotype" w:cs="Palatino Linotype"/>
                <w:b/>
                <w:i w:val="0"/>
                <w:color w:val="FF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default" w:ascii="Palatino Linotype" w:hAnsi="Palatino Linotype" w:eastAsia="Palatino Linotype" w:cs="Palatino Linotype"/>
                <w:b/>
                <w:i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Description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1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UBQ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AAATATTCGACGATGTGTCTGC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CCAGTAAAATTGTTCTTOCGGTA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default"/>
                <w:color w:val="auto"/>
                <w:lang w:val="en-US" w:eastAsia="zh-CN"/>
              </w:rPr>
              <w:t>polyubiquitin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SUS4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TTAGCTTGACCAAAGTGCCCAT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ACTTCAAGCTCCTGATCCCTCT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sucrose synthase (sus4)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SUS3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AGATACTCCTCGGCCTTCGAC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CGCACAAGTACCAAGGGCAT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sucrose synthase (sus3)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ETR2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GGATATCTCTACCATAAACAACGAGCAA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CAGCCTCCTTTATCATAGAATGCAA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auto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/>
                <w:color w:val="auto"/>
                <w:lang w:val="en-US" w:eastAsia="zh-CN"/>
              </w:rPr>
              <w:t>ethylene receptor 2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ADH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TCCACAATCCCTCCTGCTTCGT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ATTAAGATCCTCTACACTTCGCTATGCC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alcohol dehydrogenase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ENO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TAGCTTGTTTCCAGCATGTGA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TCTATACCAGCATATCGCCAA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enolase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PDC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GTCTCGGCAATCACAGCACTACTCCC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AACGAGCCTTTACGTGTTAATGTGCTCT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pyruvate decarboxylase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PK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TCCACCGGGAGTTTCTTGTAGCTCA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CCTTAAAGATGCAAAGCCAGTCCAAC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pyruvate kinase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" w:hRule="atLeast"/>
          <w:jc w:val="center"/>
        </w:trPr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PFK</w:t>
            </w:r>
          </w:p>
        </w:tc>
        <w:tc>
          <w:tcPr>
            <w:tcW w:w="4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ATCACTTTTCAAGCAAGCGGAGGA</w:t>
            </w:r>
          </w:p>
        </w:tc>
        <w:tc>
          <w:tcPr>
            <w:tcW w:w="4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TATGAGCCAACAGAGTGCAGTACACGTT</w:t>
            </w:r>
          </w:p>
        </w:tc>
        <w:tc>
          <w:tcPr>
            <w:tcW w:w="2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6-phosphofructokinase 1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3" w:hRule="atLeast"/>
          <w:jc w:val="center"/>
        </w:trPr>
        <w:tc>
          <w:tcPr>
            <w:tcW w:w="556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PGK</w:t>
            </w:r>
          </w:p>
        </w:tc>
        <w:tc>
          <w:tcPr>
            <w:tcW w:w="4272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AGTGTCACTCTTATTGCCTACCG</w:t>
            </w:r>
          </w:p>
        </w:tc>
        <w:tc>
          <w:tcPr>
            <w:tcW w:w="4259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CAATGTCAAGCCCCATCCAACC</w:t>
            </w:r>
          </w:p>
        </w:tc>
        <w:tc>
          <w:tcPr>
            <w:tcW w:w="2513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phosphoglycerate kinase</w:t>
            </w:r>
          </w:p>
        </w:tc>
      </w:tr>
    </w:tbl>
    <w:p>
      <w:pPr>
        <w:bidi w:val="0"/>
        <w:jc w:val="center"/>
        <w:rPr>
          <w:rFonts w:hint="eastAsia"/>
          <w:sz w:val="20"/>
          <w:szCs w:val="22"/>
          <w:lang w:val="en-US" w:eastAsia="zh-CN"/>
        </w:rPr>
      </w:pPr>
      <w:r>
        <w:rPr>
          <w:b/>
        </w:rPr>
        <w:t xml:space="preserve">Table </w:t>
      </w:r>
      <w:bookmarkEnd w:id="3"/>
      <w:r>
        <w:rPr>
          <w:rFonts w:hint="eastAsia"/>
          <w:b/>
          <w:lang w:val="en-US" w:eastAsia="zh-CN"/>
        </w:rPr>
        <w:t>S5</w:t>
      </w:r>
      <w:r>
        <w:rPr>
          <w:b/>
        </w:rPr>
        <w:t>.</w:t>
      </w:r>
      <w:r>
        <w:t xml:space="preserve"> Nucleotide sequences of primers used for qRT-PCR.</w:t>
      </w:r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0CAAC87"/>
    <w:multiLevelType w:val="singleLevel"/>
    <w:tmpl w:val="A0CAAC87"/>
    <w:lvl w:ilvl="0" w:tentative="0">
      <w:start w:val="1"/>
      <w:numFmt w:val="decimal"/>
      <w:pStyle w:val="14"/>
      <w:lvlText w:val="[%1]"/>
      <w:lvlJc w:val="left"/>
      <w:pPr>
        <w:tabs>
          <w:tab w:val="left" w:pos="353"/>
        </w:tabs>
        <w:ind w:left="1260" w:leftChars="0" w:hanging="1260" w:firstLineChars="0"/>
      </w:pPr>
      <w:rPr>
        <w:rFonts w:hint="default"/>
      </w:rPr>
    </w:lvl>
  </w:abstractNum>
  <w:abstractNum w:abstractNumId="1">
    <w:nsid w:val="ECAB143E"/>
    <w:multiLevelType w:val="singleLevel"/>
    <w:tmpl w:val="ECAB143E"/>
    <w:lvl w:ilvl="0" w:tentative="0">
      <w:start w:val="1"/>
      <w:numFmt w:val="decimal"/>
      <w:pStyle w:val="15"/>
      <w:lvlText w:val="[%1]"/>
      <w:lvlJc w:val="left"/>
      <w:pPr>
        <w:tabs>
          <w:tab w:val="left" w:pos="353"/>
        </w:tabs>
        <w:ind w:left="1260" w:leftChars="0" w:hanging="1260" w:firstLineChars="0"/>
      </w:pPr>
      <w:rPr>
        <w:rFonts w:hint="default"/>
      </w:rPr>
    </w:lvl>
  </w:abstractNum>
  <w:abstractNum w:abstractNumId="2">
    <w:nsid w:val="F7FC1171"/>
    <w:multiLevelType w:val="multilevel"/>
    <w:tmpl w:val="F7FC1171"/>
    <w:lvl w:ilvl="0" w:tentative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pStyle w:val="5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A5A0DF0"/>
    <w:rsid w:val="01387423"/>
    <w:rsid w:val="08833DFA"/>
    <w:rsid w:val="09EB5191"/>
    <w:rsid w:val="0D6D579D"/>
    <w:rsid w:val="0EB01E39"/>
    <w:rsid w:val="1139063F"/>
    <w:rsid w:val="34AB7EFB"/>
    <w:rsid w:val="35D62AC3"/>
    <w:rsid w:val="479C1507"/>
    <w:rsid w:val="491156A4"/>
    <w:rsid w:val="5031230A"/>
    <w:rsid w:val="5094188B"/>
    <w:rsid w:val="5FCC7668"/>
    <w:rsid w:val="65427313"/>
    <w:rsid w:val="67F21DAF"/>
    <w:rsid w:val="70E960D6"/>
    <w:rsid w:val="714D44C7"/>
    <w:rsid w:val="72602DFD"/>
    <w:rsid w:val="776F3A31"/>
    <w:rsid w:val="77947B16"/>
    <w:rsid w:val="78DF61DA"/>
    <w:rsid w:val="7A055C7A"/>
    <w:rsid w:val="7A5A0DF0"/>
    <w:rsid w:val="7DB51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qFormat="1"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240" w:lineRule="auto"/>
      <w:ind w:left="0" w:firstLine="0"/>
      <w:jc w:val="left"/>
      <w:outlineLvl w:val="0"/>
    </w:pPr>
    <w:rPr>
      <w:rFonts w:ascii="Times New Roman" w:hAnsi="Times New Roman" w:eastAsiaTheme="minorEastAsia"/>
      <w:kern w:val="44"/>
      <w:sz w:val="28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240" w:lineRule="auto"/>
      <w:ind w:left="0" w:firstLine="0"/>
      <w:jc w:val="left"/>
      <w:outlineLvl w:val="1"/>
    </w:pPr>
    <w:rPr>
      <w:rFonts w:ascii="Times New Roman" w:hAnsi="Times New Roman" w:eastAsia="宋体"/>
      <w:sz w:val="24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240" w:lineRule="auto"/>
      <w:ind w:left="0" w:firstLine="0"/>
      <w:jc w:val="left"/>
      <w:outlineLvl w:val="2"/>
    </w:pPr>
    <w:rPr>
      <w:rFonts w:ascii="Times New Roman" w:hAnsi="Times New Roman" w:eastAsiaTheme="minorEastAsia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/>
      <w:outlineLvl w:val="8"/>
    </w:pPr>
    <w:rPr>
      <w:rFonts w:ascii="Arial" w:hAnsi="Arial" w:eastAsia="黑体"/>
      <w:sz w:val="21"/>
    </w:rPr>
  </w:style>
  <w:style w:type="character" w:default="1" w:styleId="13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endnote text"/>
    <w:basedOn w:val="1"/>
    <w:qFormat/>
    <w:uiPriority w:val="0"/>
    <w:pPr>
      <w:snapToGrid w:val="0"/>
      <w:jc w:val="left"/>
    </w:pPr>
  </w:style>
  <w:style w:type="paragraph" w:customStyle="1" w:styleId="14">
    <w:name w:val="样式1"/>
    <w:basedOn w:val="11"/>
    <w:qFormat/>
    <w:uiPriority w:val="0"/>
    <w:pPr>
      <w:numPr>
        <w:ilvl w:val="0"/>
        <w:numId w:val="2"/>
      </w:numPr>
    </w:pPr>
    <w:rPr>
      <w:rFonts w:ascii="Times New Roman" w:hAnsi="Times New Roman" w:eastAsia="Times New Roman" w:cs="Times New Roman"/>
      <w:color w:val="000000"/>
      <w:sz w:val="24"/>
      <w:lang w:eastAsia="de-DE"/>
    </w:rPr>
  </w:style>
  <w:style w:type="paragraph" w:customStyle="1" w:styleId="15">
    <w:name w:val="样式2"/>
    <w:basedOn w:val="1"/>
    <w:qFormat/>
    <w:uiPriority w:val="0"/>
    <w:pPr>
      <w:numPr>
        <w:ilvl w:val="0"/>
        <w:numId w:val="3"/>
      </w:numPr>
    </w:pPr>
    <w:rPr>
      <w:rFonts w:ascii="Palatino Linotype" w:hAnsi="Palatino Linotype" w:eastAsia="Times New Roman" w:cs="Times New Roman"/>
      <w:color w:val="000000"/>
      <w:sz w:val="18"/>
      <w:lang w:val="de-DE" w:eastAsia="de-DE"/>
    </w:rPr>
  </w:style>
  <w:style w:type="paragraph" w:customStyle="1" w:styleId="16">
    <w:name w:val="MDPI_4.1_table_caption"/>
    <w:basedOn w:val="1"/>
    <w:qFormat/>
    <w:uiPriority w:val="0"/>
    <w:pPr>
      <w:adjustRightInd w:val="0"/>
      <w:snapToGrid w:val="0"/>
      <w:spacing w:before="240" w:after="120" w:line="260" w:lineRule="atLeast"/>
      <w:ind w:left="425" w:right="425"/>
    </w:pPr>
    <w:rPr>
      <w:rFonts w:ascii="Palatino Linotype" w:hAnsi="Palatino Linotype"/>
      <w:sz w:val="18"/>
      <w:szCs w:val="22"/>
      <w:lang w:bidi="en-US"/>
    </w:rPr>
  </w:style>
  <w:style w:type="character" w:customStyle="1" w:styleId="17">
    <w:name w:val="font21"/>
    <w:basedOn w:val="13"/>
    <w:qFormat/>
    <w:uiPriority w:val="0"/>
    <w:rPr>
      <w:rFonts w:hint="eastAsia" w:ascii="宋体" w:hAnsi="宋体" w:eastAsia="宋体" w:cs="宋体"/>
      <w:b/>
      <w:color w:val="000000"/>
      <w:sz w:val="20"/>
      <w:szCs w:val="20"/>
      <w:u w:val="none"/>
    </w:rPr>
  </w:style>
  <w:style w:type="character" w:customStyle="1" w:styleId="18">
    <w:name w:val="font31"/>
    <w:basedOn w:val="13"/>
    <w:qFormat/>
    <w:uiPriority w:val="0"/>
    <w:rPr>
      <w:rFonts w:hint="default" w:ascii="Palatino Linotype" w:hAnsi="Palatino Linotype" w:eastAsia="Palatino Linotype" w:cs="Palatino Linotype"/>
      <w:b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2020-12-18T13:05:00Z</dcterms:created>
  <dc:creator>哦哟</dc:creator>
  <cp:lastModifiedBy>哦哟</cp:lastModifiedBy>
  <dcterms:modified xsi:type="dcterms:W3CDTF">2022-02-23T07:48:43Z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